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70" w:rsidRPr="007E4470" w:rsidRDefault="007E4470" w:rsidP="007E4470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7E4470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Újabb pályázatot nyert a Bük, Bükfürdő Közhasznú Turisztikai Egyesület</w:t>
      </w:r>
    </w:p>
    <w:p w:rsidR="007E4470" w:rsidRPr="007E4470" w:rsidRDefault="007E4470" w:rsidP="007E4470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7E4470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 xml:space="preserve">2013. év második felében a Helyi Vidékfejlesztési Stratégiák – LEADER fejezetének végrehajtásához nyújtott be pályázatot a büki TDM szervezet, amelyet pozitívan bíráltak el. A nettó 14 955 000 Ft pályázati forrást elsősorban marketing-eszközökre fordítjuk, de szeretnénk a város infrastruktúrájához is hozzájárulni, valamint a pályázati támogatásból programokat szervezni. </w:t>
      </w:r>
    </w:p>
    <w:p w:rsidR="007E4470" w:rsidRPr="007E4470" w:rsidRDefault="007E4470" w:rsidP="007E4470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Támogatást nyertünk - a városlakók és a Bükre érkező vendégek által is kedvelt sportanimációs szolgáltatásra és a legkisebbekre is gondolva mesevonat bábelőadásra.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 xml:space="preserve">Terveink között szerepel egy termelői piac meghonosítása Bükön, amelyhez 10 darab faházat és 10 darab piaci standot </w:t>
      </w:r>
      <w:r w:rsidR="006D357D"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vásároltunk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. Ezek az eszközök a nyári rendezvények lebonyolításában is szerephez jutnak. A rendezvényekhez kapcsolódva egy nagyméretű, modern sátrat is tervezünk vásárolni, amellyel segíthetjük a városi programok megvalósítását is.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Bük, Bükfürdő népszerűsítése fontos feladatunk, ezért a pályázati forrás felhasználásával 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ma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g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yar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, valamint 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német</w:t>
      </w:r>
      <w:r w:rsidRPr="006D357D">
        <w:rPr>
          <w:rFonts w:ascii="inherit" w:eastAsia="Times New Roman" w:hAnsi="inherit" w:cs="Helvetica"/>
          <w:sz w:val="20"/>
          <w:szCs w:val="20"/>
          <w:lang w:eastAsia="hu-HU"/>
        </w:rPr>
        <w:t>, 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cseh </w:t>
      </w:r>
      <w:r w:rsidRPr="006D357D">
        <w:rPr>
          <w:rFonts w:ascii="inherit" w:eastAsia="Times New Roman" w:hAnsi="inherit" w:cs="Helvetica"/>
          <w:sz w:val="20"/>
          <w:szCs w:val="20"/>
          <w:lang w:eastAsia="hu-HU"/>
        </w:rPr>
        <w:t>és 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orosz 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nyelvű imázs katalógust készítünk, amelynek segítségével a bel-és külföldi vásárokon tudunk megjelenni. Az előző évekhez hasonlóan elkészítjük a </w:t>
      </w:r>
      <w:r w:rsidRPr="006D357D">
        <w:rPr>
          <w:rFonts w:ascii="inherit" w:eastAsia="Times New Roman" w:hAnsi="inherit" w:cs="Helvetica"/>
          <w:bCs/>
          <w:sz w:val="20"/>
          <w:szCs w:val="20"/>
          <w:bdr w:val="none" w:sz="0" w:space="0" w:color="auto" w:frame="1"/>
          <w:lang w:eastAsia="hu-HU"/>
        </w:rPr>
        <w:t>helyi programkalauzt</w:t>
      </w:r>
      <w:r w:rsidRPr="006D357D">
        <w:rPr>
          <w:rFonts w:ascii="inherit" w:eastAsia="Times New Roman" w:hAnsi="inherit" w:cs="Helvetica"/>
          <w:sz w:val="20"/>
          <w:szCs w:val="20"/>
          <w:lang w:eastAsia="hu-HU"/>
        </w:rPr>
        <w:t> is. 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 xml:space="preserve">Az internet elterjedése és a megváltozott piaci viszonyoknak megfelelően </w:t>
      </w:r>
      <w:proofErr w:type="spellStart"/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adwords</w:t>
      </w:r>
      <w:proofErr w:type="spellEnd"/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 xml:space="preserve"> kampánnyal jelenünk meg az online piacon, valamint rádiós spotokkal és televíziós megjelenéssel reklámozzuk Büköt, Bükfürdőt. </w:t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E4470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Bízunk abban, hogy a pályázat segítségével hozzájárulhatunk városunk népszerűsítéséhez és további előnyöket szerzünk a turisztikai piacon.</w:t>
      </w:r>
      <w:bookmarkStart w:id="0" w:name="_GoBack"/>
      <w:bookmarkEnd w:id="0"/>
    </w:p>
    <w:p w:rsidR="00E4438D" w:rsidRDefault="00E4438D"/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70"/>
    <w:rsid w:val="006D357D"/>
    <w:rsid w:val="007E4470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24854-3F69-4597-9B39-79669476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E4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E4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44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E447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E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4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2</cp:revision>
  <dcterms:created xsi:type="dcterms:W3CDTF">2018-01-31T13:07:00Z</dcterms:created>
  <dcterms:modified xsi:type="dcterms:W3CDTF">2018-02-14T09:15:00Z</dcterms:modified>
</cp:coreProperties>
</file>