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94C" w:rsidRPr="0076194C" w:rsidRDefault="0076194C" w:rsidP="0076194C">
      <w:pPr>
        <w:shd w:val="clear" w:color="auto" w:fill="FFFFFF"/>
        <w:spacing w:before="165" w:after="75" w:line="495" w:lineRule="atLeast"/>
        <w:textAlignment w:val="baseline"/>
        <w:outlineLvl w:val="0"/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</w:pPr>
      <w:r w:rsidRPr="0076194C">
        <w:rPr>
          <w:rFonts w:ascii="inherit" w:eastAsia="Times New Roman" w:hAnsi="inherit" w:cs="Helvetica"/>
          <w:color w:val="2EA3D2"/>
          <w:kern w:val="36"/>
          <w:sz w:val="45"/>
          <w:szCs w:val="45"/>
          <w:lang w:eastAsia="hu-HU"/>
        </w:rPr>
        <w:t>Elektromos és tandem-kerékpárok bérlése büki, bükfürdői irodáinkban</w:t>
      </w:r>
    </w:p>
    <w:p w:rsidR="0076194C" w:rsidRPr="0076194C" w:rsidRDefault="0076194C" w:rsidP="0076194C">
      <w:pPr>
        <w:shd w:val="clear" w:color="auto" w:fill="FFFFFF"/>
        <w:spacing w:before="60" w:after="570" w:line="336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</w:pPr>
      <w:r w:rsidRPr="0076194C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 xml:space="preserve">Pattanjon nyeregbe </w:t>
      </w:r>
      <w:proofErr w:type="gramStart"/>
      <w:r w:rsidRPr="0076194C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büki</w:t>
      </w:r>
      <w:proofErr w:type="gramEnd"/>
      <w:r w:rsidRPr="0076194C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 xml:space="preserve"> illetve bükfürdői információs irodáinknál bérelhető kerékpárjaink egyikére és fedezze fel Bükfürdő környékét! Hagyományos kerékpárjaink mellett </w:t>
      </w:r>
      <w:proofErr w:type="spellStart"/>
      <w:r w:rsidRPr="0076194C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>pedelec</w:t>
      </w:r>
      <w:proofErr w:type="spellEnd"/>
      <w:r w:rsidRPr="0076194C">
        <w:rPr>
          <w:rFonts w:ascii="inherit" w:eastAsia="Times New Roman" w:hAnsi="inherit" w:cs="Helvetica"/>
          <w:b/>
          <w:bCs/>
          <w:color w:val="464646"/>
          <w:sz w:val="23"/>
          <w:szCs w:val="23"/>
          <w:lang w:eastAsia="hu-HU"/>
        </w:rPr>
        <w:t xml:space="preserve"> és tandem biciklik állnak rendelkezésre! Kölcsönzési árainkról bővebben itt tájékozódhat! Sok szeretettel várjuk Bükfürdőn!</w:t>
      </w:r>
    </w:p>
    <w:p w:rsidR="0076194C" w:rsidRPr="0076194C" w:rsidRDefault="0076194C" w:rsidP="00761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194C" w:rsidRPr="0076194C" w:rsidRDefault="0076194C" w:rsidP="0076194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76194C">
        <w:rPr>
          <w:rFonts w:ascii="inherit" w:eastAsia="Times New Roman" w:hAnsi="inherit" w:cs="Helvetica"/>
          <w:noProof/>
          <w:color w:val="0000FF"/>
          <w:sz w:val="20"/>
          <w:szCs w:val="20"/>
          <w:bdr w:val="none" w:sz="0" w:space="0" w:color="auto" w:frame="1"/>
          <w:lang w:eastAsia="hu-HU"/>
        </w:rPr>
        <w:drawing>
          <wp:inline distT="0" distB="0" distL="0" distR="0">
            <wp:extent cx="5715000" cy="3810000"/>
            <wp:effectExtent l="0" t="0" r="0" b="0"/>
            <wp:docPr id="2" name="Kép 2" descr="Elektromos és tandem-kerékpárok bérlése büki, bükfürdői irodáinkban">
              <a:hlinkClick xmlns:a="http://schemas.openxmlformats.org/drawingml/2006/main" r:id="rId4" tooltip="&quot;Elektromos és tandem-kerékpárok bérlése büki, bükfürdői irodáinkb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ktromos és tandem-kerékpárok bérlése büki, bükfürdői irodáinkban">
                      <a:hlinkClick r:id="rId4" tooltip="&quot;Elektromos és tandem-kerékpárok bérlése büki, bükfürdői irodáinkb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4C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6194C"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  <w:br/>
      </w:r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A </w:t>
      </w:r>
      <w:proofErr w:type="spellStart"/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pedelec</w:t>
      </w:r>
      <w:proofErr w:type="spellEnd"/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a „pedál" és az „elektromos" szavak kombinációjából származik, és nem ugyanaz, mint az elektromos vagy e-kerékpár, a </w:t>
      </w:r>
      <w:proofErr w:type="spellStart"/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pedeleceket</w:t>
      </w:r>
      <w:proofErr w:type="spellEnd"/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 xml:space="preserve"> ugyanis - ha kicsit is, de - hajtani kell. Éppen ez a technika adja a jármű két nagy előnyét: a sportot és a rendkívül olcsó üzemeltetést.</w:t>
      </w:r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br/>
      </w:r>
    </w:p>
    <w:p w:rsidR="0076194C" w:rsidRPr="0076194C" w:rsidRDefault="0076194C" w:rsidP="0076194C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A </w:t>
      </w:r>
      <w:proofErr w:type="spellStart"/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>pedelec</w:t>
      </w:r>
      <w:proofErr w:type="spellEnd"/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 xml:space="preserve"> kerékpárokat jelenleg 500 forintért lehet bérelni egy órára</w:t>
      </w:r>
      <w:r w:rsidRPr="0076194C">
        <w:rPr>
          <w:rFonts w:ascii="inherit" w:eastAsia="Times New Roman" w:hAnsi="inherit" w:cs="Helvetica"/>
          <w:color w:val="000000"/>
          <w:sz w:val="20"/>
          <w:szCs w:val="20"/>
          <w:bdr w:val="none" w:sz="0" w:space="0" w:color="auto" w:frame="1"/>
          <w:lang w:eastAsia="hu-HU"/>
        </w:rPr>
        <w:t>, de hosszabb időszakok arányaiban még kedvezőbbek, és a kölcsönzéssel számos ingyenes kiegészítő szolgáltatás is jár.</w:t>
      </w:r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br/>
      </w:r>
    </w:p>
    <w:p w:rsidR="0076194C" w:rsidRPr="0076194C" w:rsidRDefault="0076194C" w:rsidP="0076194C">
      <w:pPr>
        <w:shd w:val="clear" w:color="auto" w:fill="FFFFFF"/>
        <w:spacing w:after="150" w:line="270" w:lineRule="atLeast"/>
        <w:textAlignment w:val="baseline"/>
        <w:rPr>
          <w:rFonts w:ascii="inherit" w:eastAsia="Times New Roman" w:hAnsi="inherit" w:cs="Helvetica"/>
          <w:color w:val="464646"/>
          <w:sz w:val="20"/>
          <w:szCs w:val="20"/>
          <w:lang w:eastAsia="hu-HU"/>
        </w:rPr>
      </w:pPr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>Kerékpárkölcsönzési díjak:</w:t>
      </w:r>
    </w:p>
    <w:tbl>
      <w:tblPr>
        <w:tblW w:w="6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1758"/>
        <w:gridCol w:w="1017"/>
        <w:gridCol w:w="1060"/>
      </w:tblGrid>
      <w:tr w:rsidR="0076194C" w:rsidRPr="0076194C" w:rsidTr="0076194C">
        <w:trPr>
          <w:trHeight w:val="255"/>
        </w:trPr>
        <w:tc>
          <w:tcPr>
            <w:tcW w:w="2475" w:type="dxa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Normál kerékpár</w:t>
            </w:r>
          </w:p>
        </w:tc>
        <w:tc>
          <w:tcPr>
            <w:tcW w:w="960" w:type="dxa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proofErr w:type="spellStart"/>
            <w:r w:rsidRPr="0076194C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Pedelec</w:t>
            </w:r>
            <w:proofErr w:type="spellEnd"/>
          </w:p>
        </w:tc>
        <w:tc>
          <w:tcPr>
            <w:tcW w:w="960" w:type="dxa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Tandem</w:t>
            </w:r>
          </w:p>
        </w:tc>
      </w:tr>
      <w:tr w:rsidR="0076194C" w:rsidRPr="0076194C" w:rsidTr="0076194C">
        <w:trPr>
          <w:trHeight w:val="255"/>
        </w:trPr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1 óra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400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500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500 Ft</w:t>
            </w:r>
          </w:p>
        </w:tc>
      </w:tr>
      <w:tr w:rsidR="0076194C" w:rsidRPr="0076194C" w:rsidTr="0076194C">
        <w:trPr>
          <w:trHeight w:val="255"/>
        </w:trPr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lastRenderedPageBreak/>
              <w:t>Fél nap (4 óra)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1 200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1 500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1 500 Ft</w:t>
            </w:r>
          </w:p>
        </w:tc>
      </w:tr>
      <w:tr w:rsidR="0076194C" w:rsidRPr="0076194C" w:rsidTr="0076194C">
        <w:trPr>
          <w:trHeight w:val="510"/>
        </w:trPr>
        <w:tc>
          <w:tcPr>
            <w:tcW w:w="2475" w:type="dxa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7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24 óra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2 200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3 000 Ft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3 000 Ft</w:t>
            </w:r>
          </w:p>
        </w:tc>
      </w:tr>
      <w:tr w:rsidR="0076194C" w:rsidRPr="0076194C" w:rsidTr="0076194C">
        <w:trPr>
          <w:trHeight w:val="255"/>
        </w:trPr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2 nap felett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2 000 Ft/nap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88" w:lineRule="atLeast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single" w:sz="6" w:space="0" w:color="E3E4E5"/>
              <w:left w:val="single" w:sz="6" w:space="0" w:color="E3E4E5"/>
              <w:bottom w:val="single" w:sz="6" w:space="0" w:color="E3E4E5"/>
              <w:right w:val="single" w:sz="6" w:space="0" w:color="E3E4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6194C" w:rsidRPr="0076194C" w:rsidRDefault="0076194C" w:rsidP="0076194C">
            <w:pPr>
              <w:spacing w:after="0" w:line="27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hu-HU"/>
              </w:rPr>
            </w:pPr>
            <w:r w:rsidRPr="0076194C">
              <w:rPr>
                <w:rFonts w:ascii="inherit" w:eastAsia="Times New Roman" w:hAnsi="inherit" w:cs="Times New Roman"/>
                <w:color w:val="000000"/>
                <w:sz w:val="20"/>
                <w:szCs w:val="20"/>
                <w:bdr w:val="none" w:sz="0" w:space="0" w:color="auto" w:frame="1"/>
                <w:lang w:eastAsia="hu-HU"/>
              </w:rPr>
              <w:t>-</w:t>
            </w:r>
          </w:p>
        </w:tc>
      </w:tr>
    </w:tbl>
    <w:p w:rsidR="0076194C" w:rsidRPr="0076194C" w:rsidRDefault="0076194C" w:rsidP="0076194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Times New Roman"/>
          <w:sz w:val="20"/>
          <w:szCs w:val="20"/>
          <w:lang w:eastAsia="hu-HU"/>
        </w:rPr>
      </w:pPr>
      <w:proofErr w:type="gramStart"/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>Csoportok  8</w:t>
      </w:r>
      <w:proofErr w:type="gramEnd"/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 xml:space="preserve"> kerékpár felett maximum 2 napra 1500Ft/nap  áron vehetik igénybe mindegyik kerékpár esetében szolgáltatásunkat. 14 év alatti gyermek 50% kedvezményt kap az árból.</w:t>
      </w:r>
    </w:p>
    <w:p w:rsidR="0076194C" w:rsidRPr="0076194C" w:rsidRDefault="0076194C" w:rsidP="0076194C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</w:pPr>
      <w:r w:rsidRPr="0076194C"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  <w:t> </w:t>
      </w:r>
      <w:r w:rsidRPr="0076194C">
        <w:rPr>
          <w:rFonts w:ascii="inherit" w:eastAsia="Times New Roman" w:hAnsi="inherit" w:cs="Helvetica"/>
          <w:b/>
          <w:bCs/>
          <w:noProof/>
          <w:color w:val="0000FF"/>
          <w:sz w:val="20"/>
          <w:szCs w:val="20"/>
          <w:bdr w:val="none" w:sz="0" w:space="0" w:color="auto" w:frame="1"/>
          <w:lang w:eastAsia="hu-HU"/>
        </w:rPr>
        <w:drawing>
          <wp:inline distT="0" distB="0" distL="0" distR="0">
            <wp:extent cx="3867150" cy="3057525"/>
            <wp:effectExtent l="0" t="0" r="0" b="9525"/>
            <wp:docPr id="1" name="Kép 1" descr="Elektromos és tandem-kerékpárok bérlése büki, bükfürdői irodáinkban">
              <a:hlinkClick xmlns:a="http://schemas.openxmlformats.org/drawingml/2006/main" r:id="rId6" tooltip="&quot;Elektromos és tandem-kerékpárok bérlése büki, bükfürdői irodáinkb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ktromos és tandem-kerékpárok bérlése büki, bükfürdői irodáinkban">
                      <a:hlinkClick r:id="rId6" tooltip="&quot;Elektromos és tandem-kerékpárok bérlése büki, bükfürdői irodáinkb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br/>
        <w:t>Kerékpáros térképünk </w:t>
      </w:r>
      <w:hyperlink r:id="rId8" w:history="1">
        <w:r w:rsidRPr="0076194C">
          <w:rPr>
            <w:rFonts w:ascii="inherit" w:eastAsia="Times New Roman" w:hAnsi="inherit" w:cs="Helvetica"/>
            <w:b/>
            <w:bCs/>
            <w:color w:val="000080"/>
            <w:sz w:val="20"/>
            <w:szCs w:val="20"/>
            <w:u w:val="single"/>
            <w:bdr w:val="none" w:sz="0" w:space="0" w:color="auto" w:frame="1"/>
            <w:lang w:eastAsia="hu-HU"/>
          </w:rPr>
          <w:t>ITT</w:t>
        </w:r>
        <w:r w:rsidRPr="0076194C">
          <w:rPr>
            <w:rFonts w:ascii="inherit" w:eastAsia="Times New Roman" w:hAnsi="inherit" w:cs="Helvetica"/>
            <w:b/>
            <w:bCs/>
            <w:color w:val="0000FF"/>
            <w:sz w:val="20"/>
            <w:szCs w:val="20"/>
            <w:u w:val="single"/>
            <w:bdr w:val="none" w:sz="0" w:space="0" w:color="auto" w:frame="1"/>
            <w:lang w:eastAsia="hu-HU"/>
          </w:rPr>
          <w:t> </w:t>
        </w:r>
      </w:hyperlink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>letölthető!</w:t>
      </w:r>
    </w:p>
    <w:p w:rsidR="0076194C" w:rsidRPr="0076194C" w:rsidRDefault="0076194C" w:rsidP="0076194C">
      <w:pPr>
        <w:shd w:val="clear" w:color="auto" w:fill="FFFFFF"/>
        <w:spacing w:after="150" w:line="270" w:lineRule="atLeast"/>
        <w:jc w:val="both"/>
        <w:textAlignment w:val="baseline"/>
        <w:rPr>
          <w:rFonts w:ascii="inherit" w:eastAsia="Times New Roman" w:hAnsi="inherit" w:cs="Helvetica"/>
          <w:b/>
          <w:bCs/>
          <w:color w:val="464646"/>
          <w:sz w:val="20"/>
          <w:szCs w:val="20"/>
          <w:bdr w:val="none" w:sz="0" w:space="0" w:color="auto" w:frame="1"/>
          <w:lang w:eastAsia="hu-HU"/>
        </w:rPr>
      </w:pPr>
      <w:r w:rsidRPr="0076194C">
        <w:rPr>
          <w:rFonts w:ascii="inherit" w:eastAsia="Times New Roman" w:hAnsi="inherit" w:cs="Helvetica"/>
          <w:b/>
          <w:bCs/>
          <w:color w:val="000000"/>
          <w:sz w:val="20"/>
          <w:szCs w:val="20"/>
          <w:bdr w:val="none" w:sz="0" w:space="0" w:color="auto" w:frame="1"/>
          <w:lang w:eastAsia="hu-HU"/>
        </w:rPr>
        <w:t>Mozogjon, frissüljön fel velünk! Júniustól augusztusig sok szeretettel várunk mindenkit különböző ingyenes sportprogramjainkkal a Sportparkban Bükfürdőn, a Konferencia Központ mellett!</w:t>
      </w:r>
    </w:p>
    <w:p w:rsidR="00E4438D" w:rsidRDefault="00E4438D">
      <w:bookmarkStart w:id="0" w:name="_GoBack"/>
      <w:bookmarkEnd w:id="0"/>
    </w:p>
    <w:sectPr w:rsidR="00E4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4C"/>
    <w:rsid w:val="0076194C"/>
    <w:rsid w:val="00E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3AA0-82F4-43A4-9AE2-99A6C3D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619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61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194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6194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6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6194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761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buk.hu/doc/tdmbukkerekparterkep201407elej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itbuk.hu/pic/original/A9D1B1DF72CC65768A4FF475CEDEC243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visitbuk.hu/pic/original/F82176961F80CAB31175A5E35EB8F326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HorvathLivia</dc:creator>
  <cp:keywords/>
  <dc:description/>
  <cp:lastModifiedBy>HorvathLivia</cp:lastModifiedBy>
  <cp:revision>1</cp:revision>
  <dcterms:created xsi:type="dcterms:W3CDTF">2018-01-31T13:01:00Z</dcterms:created>
  <dcterms:modified xsi:type="dcterms:W3CDTF">2018-01-31T13:01:00Z</dcterms:modified>
</cp:coreProperties>
</file>